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right"/>
        <w:spacing w:before="0" w:after="280"/>
      </w:pPr>
      <w:r>
        <w:rPr>
          <w:color w:val="000000"/>
          <w:sz w:val="24"/>
          <w:szCs w:val="24"/>
          <w:lang w:val="ru-RU"/>
        </w:rPr>
        <w:t xml:space="preserve">Приложение 1 к приказу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 17.02.2021 № 2</w:t>
      </w:r>
      <w:r/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Положение о врачебной тайне в ООО «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ДЕНТИКА</w:t>
      </w:r>
      <w:r>
        <w:rPr>
          <w:b/>
          <w:bCs/>
          <w:color w:val="000000"/>
          <w:sz w:val="24"/>
          <w:szCs w:val="24"/>
          <w:lang w:val="ru-RU"/>
        </w:rPr>
        <w:t xml:space="preserve">»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1. Общие положения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1.1. Настоящее положение регулирует отношения, возникающие в сфере оказания медицинской помощи гражданам РФ, регламентирует информационный процесс взаимодействия сотрудников медицинской организации и пациента.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1.2. Настоящее положение разработано в соответствии с Конституцией РФ, Федеральным законом от 21.11.2011 № 323-ФЗ «Об основах охраны здоровья граждан в Российской Федерации», Федеральным законом от 27.0</w:t>
      </w:r>
      <w:r>
        <w:rPr>
          <w:color w:val="000000"/>
          <w:sz w:val="24"/>
          <w:szCs w:val="24"/>
          <w:lang w:val="ru-RU"/>
        </w:rPr>
        <w:t xml:space="preserve">7.2006 № 149-ФЗ «Об информации, информационных технологиях и о защите информации», Федеральным законом от 27.07.2006 № 152-ФЗ «О персональных данных» и иными действующими нормативно-правовыми актами, с целью защиты прав и законных интересов пациентов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(далее по тексту – медицинская организация), защиты от неправомерного разглашения сведений конфиденциального характера, отнесенных к врачебной тайне.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1.3. Врачебная тайна –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 (ч. 1 ст. 13 Закона № 323-ФЗ).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Сохранение врачебной тайны является правовой обязанностью и моральным долгом каждого медицинского работника и иного лица, имеющего доступ к сведениям конфиденциального характера, отнесенным к врачебной тайне.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1.4. Медицинская организация обязана соблюдать врачебную тайну. Разглашение сведений, составляющих врачебную тайну, другим гражданам, в том числе должностным л</w:t>
      </w:r>
      <w:r>
        <w:rPr>
          <w:color w:val="000000"/>
          <w:sz w:val="24"/>
          <w:szCs w:val="24"/>
          <w:lang w:val="ru-RU"/>
        </w:rPr>
        <w:t xml:space="preserve">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1.5. Обработка сведений, составляющих врачебную тайну, осуществляется с соблюдением законов и иных нормативно-правовых актов.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1.6. Настоящее положение предназначено для ознакомления и неукоснительного исполнения руководителями и работниками всех структурных подразделений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», а также подлежит доведению до сведения лиц, состоящих в договорных, гражданско-правовых и иных отношениях с указанным медицинским учреждением.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1.7. Настоящее положение распространяется на отношения по обработке и защите персональных данных, составляющих врачебную тайну, полученных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как до, так и после утверждения положения о врачебной тайне, за ис</w:t>
      </w:r>
      <w:r>
        <w:rPr>
          <w:color w:val="000000"/>
          <w:sz w:val="24"/>
          <w:szCs w:val="24"/>
          <w:lang w:val="ru-RU"/>
        </w:rPr>
        <w:t xml:space="preserve">ключением случаев, когда по причинам правового, организационного и иного характера положение о врачебной тайне не может быть распространено на отношения по обработке и защите персональных данных, составляющих врачебную тайну, полученных до его утверждения.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2. Режим использования сведений, составляющих врачебную тайну (создание, обработка, хранение информации)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2.1. Получение персональных </w:t>
      </w:r>
      <w:r>
        <w:rPr>
          <w:color w:val="000000"/>
          <w:sz w:val="24"/>
          <w:szCs w:val="24"/>
          <w:lang w:val="ru-RU"/>
        </w:rPr>
        <w:t xml:space="preserve">данных пациента осуществляется непосредственно у лица, которому оказываются медицинские услуги либо у уполномоченного оператора (страховые медицинские организации, фонд обязательного медицинского страхования, пенсионный фонд, иные медицинские организации).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 Документы, содержащие врачебную тайну, создаются путем: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фиксирования сведения в медицинских и иных формах – на бумажных, электронных носителях, доступ к которым разрешен лицам, непосредственно использующим персональные данные пациентов в служебных целях;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получения оригиналов документов, выписок из них;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копирования оригиналов документов, выписок из них.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2.3. Обработку персональных данных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осуществляет на основани</w:t>
      </w:r>
      <w:r>
        <w:rPr>
          <w:color w:val="000000"/>
          <w:sz w:val="24"/>
          <w:szCs w:val="24"/>
          <w:lang w:val="ru-RU"/>
        </w:rPr>
        <w:t xml:space="preserve">и принципов законности и справедливости, приоритета прав и свобод человека и гражданина, неприкосновенности частной жизни, права на личную и семейную тайну, защиту своей чести и доброго имени, соблюдение конфиденциальности информации ограниченного доступа.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2.4. Обработка персональных данных – любое действие (операция) или совокупность действий (операций), совершаемых с персональными данными с использованием средств автоматизации или без использования таковых, включая: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3"/>
        </w:numPr>
        <w:ind w:left="780" w:right="180" w:hanging="360"/>
        <w:jc w:val="both"/>
        <w:spacing w:before="28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сбор, запись, систематизацию персональных данных;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3"/>
        </w:numPr>
        <w:ind w:left="780" w:right="180" w:hanging="360"/>
        <w:jc w:val="both"/>
        <w:spacing w:before="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накопление, хранение, уточнение (обновление, изменение) персональных данных;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3"/>
        </w:numPr>
        <w:ind w:left="780" w:right="180" w:hanging="360"/>
        <w:jc w:val="both"/>
        <w:spacing w:before="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извлечение, использование, передачу персональных данных (их распространение, предоставление, доступ к ним);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3"/>
        </w:numPr>
        <w:ind w:left="780" w:right="180" w:hanging="360"/>
        <w:jc w:val="both"/>
        <w:spacing w:before="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обезличивание, блокирование, удаление, уничтожение персональных данных.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2.5. Обработка персональных данных может осуществляться оператором только с согласия субъекта персональных данных, за исключением случаев, установленных законом (п. 1 ст. 6 Закона № 152-ФЗ).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2.6. Обработка персональных данных пациента осуществляется тольк</w:t>
      </w:r>
      <w:r>
        <w:rPr>
          <w:color w:val="000000"/>
          <w:sz w:val="24"/>
          <w:szCs w:val="24"/>
          <w:lang w:val="ru-RU"/>
        </w:rPr>
        <w:t xml:space="preserve">о в медико-профилактических целях, в целях определения медицинского диагноза, оказания медицинской помощи и медико-социальных услуг, с учетом того, что обработку персональных данных осуществляет лицо, профессионально занимающееся медицинской деятельностью.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2.7. В рабочее время медицинскими сотрудниками документы, содержащие персональные данные пациентов, размещаются таким образом, чтобы отсутствовала возможность их просмотра посторонними лицами.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2.8. По окончании работы все документы, амбулаторные карты, листы с записями должны быть убраны с рабочего стола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во избежание разглашения врачебной тайны третьим лицам.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2.9. Лица, являющиеся ответственными за хранение и обработку персональных данных, должны обеспечить их сохранность. Запрещено передавать логины и пароли от компьютера иным лицам.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3. Порядок предоставления сведений, составляющих врачебную тайну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3.1.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обязанностей. 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 сведениям, составляющим врачебную тайну, разглашение которых не допускается, в том числе после смерти гражданина, относятся (ч. 1, 2 ст. 13 Закона от 21.11.2011 № 323-ФЗ):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4"/>
        </w:numPr>
        <w:ind w:left="780" w:right="180" w:hanging="360"/>
        <w:jc w:val="both"/>
        <w:spacing w:before="28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сведения о факте обращения гражданина за оказанием медицинской помощи;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4"/>
        </w:numPr>
        <w:ind w:left="780" w:right="180" w:hanging="360"/>
        <w:jc w:val="both"/>
        <w:spacing w:before="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сведения о состоянии здоровья и диагнозе гражданина;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4"/>
        </w:numPr>
        <w:ind w:left="780" w:right="180" w:hanging="360"/>
        <w:jc w:val="both"/>
        <w:spacing w:before="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иные сведения, полученные при медицинском обследовании и лечении гражданина.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</w:pPr>
      <w:r>
        <w:rPr>
          <w:color w:val="000000"/>
          <w:sz w:val="24"/>
          <w:szCs w:val="24"/>
          <w:lang w:val="ru-RU"/>
        </w:rPr>
        <w:t xml:space="preserve">3.1.1</w:t>
      </w:r>
      <w:r>
        <w:rPr>
          <w:color w:val="000000"/>
          <w:sz w:val="24"/>
          <w:szCs w:val="24"/>
          <w:lang w:val="ru-RU"/>
        </w:rPr>
        <w:t xml:space="preserve">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</w:t>
      </w:r>
      <w:r>
        <w:rPr>
          <w:color w:val="000000"/>
          <w:sz w:val="24"/>
          <w:szCs w:val="24"/>
          <w:lang w:val="ru-RU"/>
        </w:rPr>
        <w:t xml:space="preserve">ссе и в иных целях допускается с письменного согласия гражданина или его законного представителя. 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вмешательство</w:t>
      </w:r>
      <w:r/>
    </w:p>
    <w:p>
      <w:pPr>
        <w:pStyle w:val="624"/>
        <w:jc w:val="both"/>
      </w:pPr>
      <w:r>
        <w:rPr>
          <w:color w:val="000000"/>
          <w:sz w:val="24"/>
          <w:szCs w:val="24"/>
          <w:lang w:val="ru-RU"/>
        </w:rPr>
        <w:t xml:space="preserve">3.1.2 После смерти гражданина допускается разглашение сведений, составляющи</w:t>
      </w:r>
      <w:r>
        <w:rPr>
          <w:color w:val="000000"/>
          <w:sz w:val="24"/>
          <w:szCs w:val="24"/>
          <w:lang w:val="ru-RU"/>
        </w:rPr>
        <w:t xml:space="preserve">х врачебную тайну, супругу (супруге), близким родственникам (детям, родителям, усыновленным, усыновителям, родным братьям и родным сестрам, внукам, дедушкам, бабушкам) либо иным лицам, указанным гражданином или его законным представителем в письменном согл</w:t>
      </w:r>
      <w:r>
        <w:rPr>
          <w:color w:val="000000"/>
          <w:sz w:val="24"/>
          <w:szCs w:val="24"/>
          <w:lang w:val="ru-RU"/>
        </w:rPr>
        <w:t xml:space="preserve">асии на разглашение сведений, составляющих врачебную тайну, или информированном добровольном согласии на медицинское вмешательство, по их запросу, если гражданин или его законный представитель не запретил разглашение сведений, составляющих врачебную тайну.</w:t>
      </w:r>
      <w:r/>
    </w:p>
    <w:p>
      <w:pPr>
        <w:pStyle w:val="624"/>
        <w:jc w:val="both"/>
      </w:pPr>
      <w:r>
        <w:rPr>
          <w:color w:val="000000"/>
          <w:sz w:val="24"/>
          <w:szCs w:val="24"/>
          <w:lang w:val="ru-RU"/>
        </w:rPr>
        <w:t xml:space="preserve">3.1.3.Супруг (супруга), близкие родственники (дети, родите</w:t>
      </w:r>
      <w:r>
        <w:rPr>
          <w:color w:val="000000"/>
          <w:sz w:val="24"/>
          <w:szCs w:val="24"/>
          <w:lang w:val="ru-RU"/>
        </w:rPr>
        <w:t xml:space="preserve">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</w:t>
      </w:r>
      <w:r>
        <w:rPr>
          <w:color w:val="000000"/>
          <w:sz w:val="24"/>
          <w:szCs w:val="24"/>
          <w:lang w:val="ru-RU"/>
        </w:rPr>
        <w:t xml:space="preserve">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сведений, составляющих врачебную тайну</w:t>
      </w:r>
      <w:r/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Предоставление сведений, составляющих врачебную тайну, без согласия гражданина или его законного представителя допускается: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проведения медицинского обследования и лечения гражданина, который в результате своего состояния не способен выра</w:t>
      </w:r>
      <w:r>
        <w:rPr>
          <w:color w:val="000000"/>
          <w:sz w:val="24"/>
          <w:szCs w:val="24"/>
          <w:lang w:val="ru-RU"/>
        </w:rPr>
        <w:t xml:space="preserve">зить свою волю,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представители, в отношении лиц, указанных в части 2 статьи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20 Закона № 323-ФЗ, а именно: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2"/>
        </w:numPr>
        <w:ind w:left="780" w:right="180" w:hanging="360"/>
        <w:jc w:val="both"/>
        <w:spacing w:before="28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лица, не достигшего во</w:t>
      </w:r>
      <w:r>
        <w:rPr>
          <w:color w:val="000000"/>
          <w:sz w:val="24"/>
          <w:szCs w:val="24"/>
          <w:lang w:val="ru-RU"/>
        </w:rPr>
        <w:t xml:space="preserve">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numPr>
          <w:ilvl w:val="0"/>
          <w:numId w:val="2"/>
        </w:numPr>
        <w:ind w:left="780" w:right="180" w:hanging="360"/>
        <w:jc w:val="both"/>
        <w:spacing w:before="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несовершеннолетнего, больного наркоманией, при оказании ему наркологической помощи или при медицинском освидетельствовании несовершеннолетнего в целях уста</w:t>
      </w:r>
      <w:r>
        <w:rPr>
          <w:color w:val="000000"/>
          <w:sz w:val="24"/>
          <w:szCs w:val="24"/>
          <w:lang w:val="ru-RU"/>
        </w:rPr>
        <w:t xml:space="preserve">новления состояния наркотического либо иного токсического опьянения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 (п. 1 ч. 9 ст. 20 Закона № 323-ФЗ);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при угрозе распространения инфекционных заболеваний, массовых отравлений и поражений (ч. 2 ст. 20 Закона № 323-ФЗ);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</w:t>
      </w:r>
      <w:r>
        <w:rPr>
          <w:color w:val="000000"/>
          <w:sz w:val="24"/>
          <w:szCs w:val="24"/>
          <w:lang w:val="ru-RU"/>
        </w:rPr>
        <w:t xml:space="preserve">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 [1];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</w:t>
      </w:r>
      <w:r>
        <w:rPr>
          <w:color w:val="000000"/>
          <w:sz w:val="24"/>
          <w:szCs w:val="24"/>
          <w:lang w:val="ru-RU"/>
        </w:rPr>
        <w:t xml:space="preserve">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случае оказания медицинской помощи несовершеннолетнему: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несовершеннолетнему, больному наркоманией, при оказании ему наркологической помощи или при медицинском освидетельствовании несовершеннолетнего в целях уста</w:t>
      </w:r>
      <w:r>
        <w:rPr>
          <w:color w:val="000000"/>
          <w:sz w:val="24"/>
          <w:szCs w:val="24"/>
          <w:lang w:val="ru-RU"/>
        </w:rPr>
        <w:t xml:space="preserve">новления состояния наркотического либо иного токсического опьянения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 (п. 2 ч. 2 ст. 20 Закона № 323-ФЗ);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несовершеннолетнему, не достигшему возраста, установленного частью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2 статьи 54 Закона № 323-ФЗ, для информирования одного из его родителей или иного законного представителя;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пр</w:t>
      </w:r>
      <w:r>
        <w:rPr>
          <w:color w:val="000000"/>
          <w:sz w:val="24"/>
          <w:szCs w:val="24"/>
          <w:lang w:val="ru-RU"/>
        </w:rPr>
        <w:t xml:space="preserve">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расследования несчастного случая на прои</w:t>
      </w:r>
      <w:r>
        <w:rPr>
          <w:color w:val="000000"/>
          <w:sz w:val="24"/>
          <w:szCs w:val="24"/>
          <w:lang w:val="ru-RU"/>
        </w:rPr>
        <w:t xml:space="preserve">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частью 6 статьи 34.1 Федерального закона от 04.12.2007 № 329-ФЗ «О физичес</w:t>
      </w:r>
      <w:r>
        <w:rPr>
          <w:color w:val="000000"/>
          <w:sz w:val="24"/>
          <w:szCs w:val="24"/>
          <w:lang w:val="ru-RU"/>
        </w:rPr>
        <w:t xml:space="preserve">кой культуре и спорте в Российской Федерации» несчастного случая с лицом, проходящим спортивную подготовку и не состоящим в трудовых отношениях с физкультурно-спортивной организацией, не осуществляющей спортивной подготовки и являющейся заказчиком услуг по</w:t>
      </w:r>
      <w:r>
        <w:rPr>
          <w:color w:val="000000"/>
          <w:sz w:val="24"/>
          <w:szCs w:val="24"/>
          <w:lang w:val="ru-RU"/>
        </w:rPr>
        <w:t xml:space="preserve">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РФ о персональных данных;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осуществления учета и контроля в системе обязательного социального страхования;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 xml:space="preserve">в целях осуществления контроля качества и безопасности медицинской деятельности в соответствии с действующим законодательством.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 Разрешено разглашение сведений, составляющих врачебную тайну, при неблагоприятном прогнозе течения заболевания, близким родствен</w:t>
      </w:r>
      <w:r>
        <w:rPr>
          <w:color w:val="000000"/>
          <w:sz w:val="24"/>
          <w:szCs w:val="24"/>
          <w:lang w:val="ru-RU"/>
        </w:rPr>
        <w:t xml:space="preserve">никам, супругу, одному из близких родственников (детям, родителям, усыновителям, усыновленным, родным братьям и сестрам, внукам, дедушкам, бабушкам), если пациент не запретил сообщать им об этом и (или) не определил иное лицо (ч. 3 ст. 22 Закона № 323-ФЗ).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 Разглашение врачебной тайны также возможно при выдаче заключения о причи</w:t>
      </w:r>
      <w:r>
        <w:rPr>
          <w:color w:val="000000"/>
          <w:sz w:val="24"/>
          <w:szCs w:val="24"/>
          <w:lang w:val="ru-RU"/>
        </w:rPr>
        <w:t xml:space="preserve">не смерти и диагнозе заболевания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</w:t>
      </w:r>
      <w:r>
        <w:rPr>
          <w:color w:val="000000"/>
          <w:sz w:val="24"/>
          <w:szCs w:val="24"/>
          <w:lang w:val="ru-RU"/>
        </w:rPr>
        <w:t xml:space="preserve">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(ч. 5 ст. 67 Закона № 323-ФЗ).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4. Защита информации, содержащей врачебную тайну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4.1. Защита информации, содержащей врачебную тайну, в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организуется посредством принятия правовых, организационных и технических мер, направленных на: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1) обеспечение защиты сведений от несанкционированного доступа, изменения, уничтожения, блокирования, копирования, предоставления, распространения и от иных неправомерных действий;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2) соблюдение режима конфиденциальности информации ограниченного доступа;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3) реализацию права пациентов на ознакомление с личными сведениями, персональными данными, находящимися в ограниченном доступе.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4.2.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обеспечивает: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1) предотвращение неправомерного доступа к информации, персональным данным пациента, составляющим врачебную тайну, лиц, не обладающими правами на доступ к таким сведениям, также использования логинов, паролей компьютеров;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2) предупреждение и своевременное обнаружение фактов незаконного доступа к сведениям, составляющим врачебную тайну;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3) предотвращение воздействия на технические средства обработки информации, в результате которого нарушается их функционирование;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4) оперативное восстановление сведений, уничтоженных в результате несанкционированного доступа к ним.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5. Ответственность за нарушение порядка работы со сведениями, составляющими врачебную тайну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5.1. Сведения о состоянии здоровь</w:t>
      </w:r>
      <w:r>
        <w:rPr>
          <w:color w:val="000000"/>
          <w:sz w:val="24"/>
          <w:szCs w:val="24"/>
          <w:lang w:val="ru-RU"/>
        </w:rPr>
        <w:t xml:space="preserve">я человека имеют личный характер, их разглашение может причинить пациенту нравственные и физические страдания. За нарушение нормативно-правовых актов, регламентирующих режим использования сведений, составляющих врачебную тайну, а также настоящего положения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работники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несут дисциплинарную, административную, гражданско-правовую, уголовную ответственность в соответствии с действующим законодательством РФ.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5.2. Лица, прав</w:t>
      </w:r>
      <w:r>
        <w:rPr>
          <w:color w:val="000000"/>
          <w:sz w:val="24"/>
          <w:szCs w:val="24"/>
          <w:lang w:val="ru-RU"/>
        </w:rPr>
        <w:t xml:space="preserve">а и законные интересы которых были нарушены в результате разглашения сведений, персональных данных, составляющих врачебную тайну, либо другого неправомерного использования такой информации, исходя из принципа гарантированности судебной защиты прав и свобод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вправе в определенном порядке обратиться за такой защитой своих прав и законных интересов, включая подачу исков о возмещении убытков, компенсации морального вреда, защиты чести, достоинства, деловой репутации.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5.3. Требование о возмещении убытков не может быть удовлетворено в случае пр</w:t>
      </w:r>
      <w:r>
        <w:rPr>
          <w:color w:val="000000"/>
          <w:sz w:val="24"/>
          <w:szCs w:val="24"/>
          <w:lang w:val="ru-RU"/>
        </w:rPr>
        <w:t xml:space="preserve">едъявления его лицом, не принимавшим мер по соблюдению конфиденциальности информации или нарушившим установленные законодательством РФ требования о защите информации, если принятие этих мер и соблюдение таких требований является обязанностями данного лица.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5.4. В случаях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1) либо по передаче информации, предоставленной другим лицом, при условии ее передачи без изменений и исправлений;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6. Заключительные положения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6.1. Настоящее положение является общедоступным документом и размещается в сети Интернет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  <w:lang w:val="ru-RU"/>
        </w:rPr>
        <w:t xml:space="preserve">на официальном сайте ООО «</w:t>
      </w:r>
      <w:r>
        <w:rPr>
          <w:color w:val="000000" w:themeColor="text1"/>
          <w:sz w:val="24"/>
          <w:szCs w:val="24"/>
          <w:lang w:val="ru-RU"/>
        </w:rPr>
        <w:t xml:space="preserve">ДЕНТИКА</w:t>
      </w:r>
      <w:r>
        <w:rPr>
          <w:color w:val="000000"/>
          <w:sz w:val="24"/>
          <w:szCs w:val="24"/>
          <w:lang w:val="ru-RU"/>
        </w:rPr>
        <w:t xml:space="preserve">» по адресу </w:t>
      </w:r>
      <w:r>
        <w:rPr>
          <w:color w:val="000000"/>
          <w:sz w:val="24"/>
          <w:szCs w:val="24"/>
        </w:rPr>
        <w:t xml:space="preserve">http</w:t>
      </w:r>
      <w:r>
        <w:rPr>
          <w:color w:val="000000"/>
          <w:sz w:val="24"/>
          <w:szCs w:val="24"/>
          <w:lang w:val="ru-RU"/>
        </w:rPr>
        <w:t xml:space="preserve">://</w:t>
      </w:r>
      <w:r>
        <w:rPr>
          <w:color w:val="000000" w:themeColor="text1"/>
          <w:sz w:val="24"/>
          <w:szCs w:val="24"/>
          <w:lang w:val="ru-RU"/>
        </w:rPr>
        <w:t xml:space="preserve">dentixcity.</w:t>
      </w:r>
      <w:r>
        <w:rPr>
          <w:color w:val="000000" w:themeColor="text1"/>
          <w:sz w:val="24"/>
          <w:szCs w:val="24"/>
          <w:lang w:val="ru-RU"/>
        </w:rPr>
        <w:t xml:space="preserve">ru</w:t>
      </w: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6.2. В случае</w:t>
      </w:r>
      <w:r>
        <w:rPr>
          <w:color w:val="000000"/>
          <w:sz w:val="24"/>
          <w:szCs w:val="24"/>
          <w:lang w:val="ru-RU"/>
        </w:rPr>
        <w:t xml:space="preserve"> неисполнения настоящего положения медицинские работники и иные лица, имеющие доступ к сведениям конфиденциального характера, отнесенные к врачебной тайне, несут ответственность в соответствии с действующим законодательством РФ.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Приложение к положению о врачебной тайне</w:t>
      </w:r>
      <w:r>
        <w:rPr>
          <w:color w:val="000000"/>
          <w:sz w:val="24"/>
          <w:szCs w:val="24"/>
          <w:lang w:val="ru-RU"/>
        </w:rPr>
      </w:r>
    </w:p>
    <w:tbl>
      <w:tblPr>
        <w:tblW w:w="7796" w:type="dxa"/>
        <w:tblInd w:w="1843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7796"/>
      </w:tblGrid>
      <w:tr>
        <w:tblPrEx/>
        <w:trPr>
          <w:trHeight w:val="5796"/>
        </w:trPr>
        <w:tc>
          <w:tcPr>
            <w:tcW w:w="7796" w:type="dxa"/>
            <w:vAlign w:val="center"/>
            <w:textDirection w:val="lrTb"/>
            <w:noWrap w:val="false"/>
          </w:tcPr>
          <w:p>
            <w:pPr>
              <w:pStyle w:val="624"/>
              <w:jc w:val="right"/>
              <w:spacing w:before="0" w:after="28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_________________________________________________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(наименование медицинской организации или Ф. И. О. медицинского работника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)</w:t>
            </w:r>
            <w:r>
              <w:rPr>
                <w:color w:val="000000"/>
                <w:sz w:val="18"/>
                <w:szCs w:val="18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адрес: ___________________________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________________________________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от_______________________________</w:t>
            </w: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(Ф. И. О. пациента или его законного представителя)</w:t>
            </w:r>
            <w:r>
              <w:rPr>
                <w:color w:val="000000"/>
                <w:sz w:val="18"/>
                <w:szCs w:val="18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</w:r>
            <w:r>
              <w:rPr>
                <w:color w:val="000000"/>
                <w:sz w:val="18"/>
                <w:szCs w:val="18"/>
                <w:lang w:val="ru-RU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__________________________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телефон:_____________________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2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24"/>
              <w:jc w:val="right"/>
              <w:spacing w:before="28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624"/>
        <w:jc w:val="center"/>
        <w:spacing w:before="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Заявление</w:t>
      </w:r>
      <w:r>
        <w:rPr>
          <w:color w:val="000000"/>
          <w:sz w:val="24"/>
          <w:szCs w:val="24"/>
        </w:rPr>
      </w:r>
    </w:p>
    <w:p>
      <w:pPr>
        <w:pStyle w:val="624"/>
        <w:jc w:val="center"/>
        <w:spacing w:before="0" w:after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о согласии (или: об отказе в даче согласия) на разглашение сведений,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center"/>
        <w:spacing w:before="0" w:after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составляющих врачебную тайну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«____»___________20___года в связи с_________________________________________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_________________________________________________________________________,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center"/>
        <w:spacing w:before="0" w:after="0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 xml:space="preserve">(обоснование причин разглашения врачебной тайны)</w:t>
      </w:r>
      <w:r>
        <w:rPr>
          <w:color w:val="000000"/>
          <w:sz w:val="16"/>
          <w:szCs w:val="16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 также на основании части 3 статьи 13 Федерального закона от 21.11.2011 № 323-ФЗ «Об основах охраны здоровья граждан в Российской Федерации» от ___________________________________________________________________________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center"/>
        <w:spacing w:before="0" w:after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(наименование медицинской организации или Ф. И. О. медицинского работника)</w:t>
      </w:r>
      <w:r>
        <w:rPr>
          <w:color w:val="000000"/>
          <w:sz w:val="18"/>
          <w:szCs w:val="18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поступил запрос согласия на разглашение сведений, сос</w:t>
      </w:r>
      <w:r>
        <w:rPr>
          <w:color w:val="000000"/>
          <w:sz w:val="24"/>
          <w:szCs w:val="24"/>
          <w:lang w:val="ru-RU"/>
        </w:rPr>
        <w:t xml:space="preserve">тавляющих врачебную тайну. На основании части 3 статьи 13 Федерального закона от 21.11.2011 № 323-ФЗ «Об основах охраны здоровья граждан в Российской Федерации» с письменного согласия гражданина или его законного представителя допускается разглашение сведе</w:t>
      </w:r>
      <w:r>
        <w:rPr>
          <w:color w:val="000000"/>
          <w:sz w:val="24"/>
          <w:szCs w:val="24"/>
          <w:lang w:val="ru-RU"/>
        </w:rPr>
        <w:t xml:space="preserve">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 основании вышеизложенного и руководствуясь частью 3 статьи 13 Федерального закона от 21.11.2011 № 323-ФЗ «Об основах охраны здоровья граждан в Российской Федерации»,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___________________________________________________________________________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center"/>
        <w:spacing w:before="0" w:after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(Ф. И. О. пациента или его законного представителя)</w:t>
      </w:r>
      <w:r>
        <w:rPr>
          <w:color w:val="000000"/>
          <w:sz w:val="18"/>
          <w:szCs w:val="18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заявляет о своем согласии (или: об отказе в даче согласия) на разглашение в форме _______________________ сведений, составляющих врачебную тайну (для представителя гражданина: о пациенте __________________________________________), а именно: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(Ф. И. О., дата рождения пациента)</w:t>
      </w:r>
      <w:r>
        <w:rPr>
          <w:color w:val="000000"/>
          <w:sz w:val="18"/>
          <w:szCs w:val="18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__________________________________________________________________________.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center"/>
        <w:spacing w:before="0" w:after="0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(перечень разглашаемых сведений)</w:t>
      </w:r>
      <w:r>
        <w:rPr>
          <w:color w:val="000000"/>
          <w:sz w:val="18"/>
          <w:szCs w:val="18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Вариант, если заявление подписывается законным представителем: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Приложение: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 Документы, подтверждающие полномочия законного представителя, подписывающего заявление.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«___»____________ 20____года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spacing w:before="0"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Пациент (законный представитель): _______________/______________</w:t>
      </w:r>
      <w:r>
        <w:rPr>
          <w:color w:val="000000"/>
          <w:sz w:val="24"/>
          <w:szCs w:val="24"/>
          <w:lang w:val="ru-RU"/>
        </w:rPr>
      </w:r>
    </w:p>
    <w:p>
      <w:pPr>
        <w:pStyle w:val="624"/>
        <w:jc w:val="both"/>
        <w:spacing w:before="0" w:after="0"/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</w:t>
      </w:r>
      <w:r>
        <w:rPr>
          <w:color w:val="000000"/>
          <w:sz w:val="18"/>
          <w:szCs w:val="18"/>
          <w:lang w:val="ru-RU"/>
        </w:rPr>
        <w:t xml:space="preserve">(подпись) (Ф. И. О.)</w:t>
      </w:r>
      <w:r/>
    </w:p>
    <w:sectPr>
      <w:footnotePr/>
      <w:endnotePr/>
      <w:type w:val="nextPage"/>
      <w:pgSz w:w="11906" w:h="16838" w:orient="portrait"/>
      <w:pgMar w:top="1440" w:right="1440" w:bottom="1440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40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  <w:pPr>
      <w:spacing w:before="280" w:after="280"/>
      <w:widowControl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ar-SA"/>
    </w:rPr>
  </w:style>
  <w:style w:type="paragraph" w:styleId="625">
    <w:name w:val="Heading 1"/>
    <w:basedOn w:val="624"/>
    <w:next w:val="624"/>
    <w:qFormat/>
    <w:pPr>
      <w:numPr>
        <w:ilvl w:val="0"/>
        <w:numId w:val="1"/>
      </w:numPr>
      <w:keepLines/>
      <w:keepNext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26">
    <w:name w:val="WW8Num1z0"/>
    <w:qFormat/>
    <w:rPr>
      <w:rFonts w:ascii="Symbol" w:hAnsi="Symbol" w:cs="Symbol"/>
      <w:sz w:val="20"/>
    </w:rPr>
  </w:style>
  <w:style w:type="character" w:styleId="627">
    <w:name w:val="WW8Num1z1"/>
    <w:qFormat/>
    <w:rPr>
      <w:rFonts w:ascii="Courier New" w:hAnsi="Courier New" w:cs="Courier New"/>
      <w:sz w:val="20"/>
    </w:rPr>
  </w:style>
  <w:style w:type="character" w:styleId="628">
    <w:name w:val="WW8Num1z2"/>
    <w:qFormat/>
    <w:rPr>
      <w:rFonts w:ascii="Wingdings" w:hAnsi="Wingdings" w:cs="Wingdings"/>
      <w:sz w:val="20"/>
    </w:rPr>
  </w:style>
  <w:style w:type="character" w:styleId="629">
    <w:name w:val="WW8Num2z0"/>
    <w:qFormat/>
    <w:rPr>
      <w:rFonts w:ascii="Symbol" w:hAnsi="Symbol" w:cs="Symbol"/>
      <w:sz w:val="20"/>
    </w:rPr>
  </w:style>
  <w:style w:type="character" w:styleId="630">
    <w:name w:val="WW8Num2z1"/>
    <w:qFormat/>
    <w:rPr>
      <w:rFonts w:ascii="Courier New" w:hAnsi="Courier New" w:cs="Courier New"/>
      <w:sz w:val="20"/>
    </w:rPr>
  </w:style>
  <w:style w:type="character" w:styleId="631">
    <w:name w:val="WW8Num2z2"/>
    <w:qFormat/>
    <w:rPr>
      <w:rFonts w:ascii="Wingdings" w:hAnsi="Wingdings" w:cs="Wingdings"/>
      <w:sz w:val="20"/>
    </w:rPr>
  </w:style>
  <w:style w:type="character" w:styleId="632">
    <w:name w:val="WW8Num3z0"/>
    <w:qFormat/>
    <w:rPr>
      <w:rFonts w:ascii="Symbol" w:hAnsi="Symbol" w:cs="Symbol"/>
      <w:sz w:val="20"/>
    </w:rPr>
  </w:style>
  <w:style w:type="character" w:styleId="633">
    <w:name w:val="WW8Num3z1"/>
    <w:qFormat/>
    <w:rPr>
      <w:rFonts w:ascii="Courier New" w:hAnsi="Courier New" w:cs="Courier New"/>
      <w:sz w:val="20"/>
    </w:rPr>
  </w:style>
  <w:style w:type="character" w:styleId="634">
    <w:name w:val="WW8Num3z2"/>
    <w:qFormat/>
    <w:rPr>
      <w:rFonts w:ascii="Wingdings" w:hAnsi="Wingdings" w:cs="Wingdings"/>
      <w:sz w:val="20"/>
    </w:rPr>
  </w:style>
  <w:style w:type="character" w:styleId="635">
    <w:name w:val="Основной шрифт абзаца"/>
    <w:qFormat/>
  </w:style>
  <w:style w:type="character" w:styleId="636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637">
    <w:name w:val="Heading"/>
    <w:basedOn w:val="624"/>
    <w:next w:val="63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38">
    <w:name w:val="Body Text"/>
    <w:basedOn w:val="624"/>
    <w:pPr>
      <w:spacing w:before="0" w:after="140" w:line="276" w:lineRule="auto"/>
    </w:pPr>
  </w:style>
  <w:style w:type="paragraph" w:styleId="639">
    <w:name w:val="List"/>
    <w:basedOn w:val="638"/>
  </w:style>
  <w:style w:type="paragraph" w:styleId="640">
    <w:name w:val="Caption"/>
    <w:basedOn w:val="62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1">
    <w:name w:val="Index"/>
    <w:basedOn w:val="624"/>
    <w:qFormat/>
    <w:pPr>
      <w:suppressLineNumbers/>
    </w:pPr>
  </w:style>
  <w:style w:type="paragraph" w:styleId="642">
    <w:name w:val="Table Contents"/>
    <w:basedOn w:val="624"/>
    <w:qFormat/>
    <w:pPr>
      <w:widowControl w:val="off"/>
      <w:suppressLineNumbers/>
    </w:pPr>
  </w:style>
  <w:style w:type="paragraph" w:styleId="643">
    <w:name w:val="Table Heading"/>
    <w:basedOn w:val="642"/>
    <w:qFormat/>
    <w:pPr>
      <w:jc w:val="center"/>
      <w:suppressLineNumbers/>
    </w:pPr>
    <w:rPr>
      <w:b/>
      <w:bCs/>
    </w:rPr>
  </w:style>
  <w:style w:type="numbering" w:styleId="644">
    <w:name w:val="WW8Num1"/>
    <w:qFormat/>
  </w:style>
  <w:style w:type="numbering" w:styleId="645">
    <w:name w:val="WW8Num2"/>
    <w:qFormat/>
  </w:style>
  <w:style w:type="numbering" w:styleId="646">
    <w:name w:val="WW8Num3"/>
    <w:qFormat/>
  </w:style>
  <w:style w:type="character" w:styleId="1204" w:default="1">
    <w:name w:val="Default Paragraph Font"/>
    <w:uiPriority w:val="1"/>
    <w:semiHidden/>
    <w:unhideWhenUsed/>
  </w:style>
  <w:style w:type="numbering" w:styleId="1205" w:default="1">
    <w:name w:val="No List"/>
    <w:uiPriority w:val="99"/>
    <w:semiHidden/>
    <w:unhideWhenUsed/>
  </w:style>
  <w:style w:type="table" w:styleId="12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Подготовлено экспертами Актион-МЦФЭР</dc:description>
  <dc:language>en-US</dc:language>
  <cp:lastModifiedBy>Dentix City</cp:lastModifiedBy>
  <cp:revision>7</cp:revision>
  <dcterms:created xsi:type="dcterms:W3CDTF">2021-07-11T20:26:00Z</dcterms:created>
  <dcterms:modified xsi:type="dcterms:W3CDTF">2024-11-26T11:46:58Z</dcterms:modified>
</cp:coreProperties>
</file>